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794ACE" w:rsidP="008A22C6">
      <w:pPr>
        <w:rPr>
          <w:b/>
        </w:rPr>
      </w:pPr>
      <w:r w:rsidRPr="00794ACE">
        <w:rPr>
          <w:b/>
        </w:rPr>
        <w:t>Appendix 5- Risk Log</w:t>
      </w:r>
    </w:p>
    <w:p w:rsidR="00794ACE" w:rsidRDefault="00794ACE" w:rsidP="008A22C6"/>
    <w:tbl>
      <w:tblPr>
        <w:tblW w:w="15881" w:type="dxa"/>
        <w:tblInd w:w="103" w:type="dxa"/>
        <w:tblLayout w:type="fixed"/>
        <w:tblLook w:val="04A0" w:firstRow="1" w:lastRow="0" w:firstColumn="1" w:lastColumn="0" w:noHBand="0" w:noVBand="1"/>
      </w:tblPr>
      <w:tblGrid>
        <w:gridCol w:w="1565"/>
        <w:gridCol w:w="3118"/>
        <w:gridCol w:w="709"/>
        <w:gridCol w:w="567"/>
        <w:gridCol w:w="850"/>
        <w:gridCol w:w="4536"/>
        <w:gridCol w:w="1276"/>
        <w:gridCol w:w="567"/>
        <w:gridCol w:w="709"/>
        <w:gridCol w:w="850"/>
        <w:gridCol w:w="1134"/>
      </w:tblGrid>
      <w:tr w:rsidR="00794ACE" w:rsidRPr="00794ACE" w:rsidTr="00794ACE">
        <w:trPr>
          <w:trHeight w:val="735"/>
        </w:trPr>
        <w:tc>
          <w:tcPr>
            <w:tcW w:w="1565" w:type="dxa"/>
            <w:vMerge w:val="restart"/>
            <w:tcBorders>
              <w:top w:val="single" w:sz="8" w:space="0" w:color="auto"/>
              <w:left w:val="single" w:sz="4" w:space="0" w:color="auto"/>
              <w:bottom w:val="single" w:sz="8" w:space="0" w:color="000000"/>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Risk Category</w:t>
            </w:r>
          </w:p>
        </w:tc>
        <w:tc>
          <w:tcPr>
            <w:tcW w:w="3118" w:type="dxa"/>
            <w:vMerge w:val="restart"/>
            <w:tcBorders>
              <w:top w:val="single" w:sz="8" w:space="0" w:color="auto"/>
              <w:left w:val="single" w:sz="4" w:space="0" w:color="FFFFFF"/>
              <w:bottom w:val="single" w:sz="8" w:space="0" w:color="000000"/>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Description of the Risk</w:t>
            </w:r>
          </w:p>
        </w:tc>
        <w:tc>
          <w:tcPr>
            <w:tcW w:w="2126" w:type="dxa"/>
            <w:gridSpan w:val="3"/>
            <w:tcBorders>
              <w:top w:val="single" w:sz="8" w:space="0" w:color="auto"/>
              <w:left w:val="nil"/>
              <w:bottom w:val="single" w:sz="4" w:space="0" w:color="FFFFFF"/>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Current Gross Risk Rating</w:t>
            </w:r>
          </w:p>
        </w:tc>
        <w:tc>
          <w:tcPr>
            <w:tcW w:w="4536" w:type="dxa"/>
            <w:vMerge w:val="restart"/>
            <w:tcBorders>
              <w:top w:val="single" w:sz="8" w:space="0" w:color="auto"/>
              <w:left w:val="single" w:sz="4" w:space="0" w:color="FFFFFF"/>
              <w:bottom w:val="single" w:sz="8" w:space="0" w:color="000000"/>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Mitigating Actions</w:t>
            </w:r>
          </w:p>
        </w:tc>
        <w:tc>
          <w:tcPr>
            <w:tcW w:w="1276" w:type="dxa"/>
            <w:vMerge w:val="restart"/>
            <w:tcBorders>
              <w:top w:val="single" w:sz="8" w:space="0" w:color="auto"/>
              <w:left w:val="single" w:sz="4" w:space="0" w:color="FFFFFF"/>
              <w:bottom w:val="single" w:sz="8" w:space="0" w:color="000000"/>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Action owner</w:t>
            </w:r>
          </w:p>
        </w:tc>
        <w:tc>
          <w:tcPr>
            <w:tcW w:w="2126" w:type="dxa"/>
            <w:gridSpan w:val="3"/>
            <w:tcBorders>
              <w:top w:val="single" w:sz="8" w:space="0" w:color="auto"/>
              <w:left w:val="nil"/>
              <w:bottom w:val="single" w:sz="4" w:space="0" w:color="FFFFFF"/>
              <w:right w:val="single" w:sz="8" w:space="0" w:color="000000"/>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Residual Risk Rating</w:t>
            </w:r>
          </w:p>
        </w:tc>
        <w:tc>
          <w:tcPr>
            <w:tcW w:w="1134" w:type="dxa"/>
            <w:vMerge w:val="restart"/>
            <w:tcBorders>
              <w:top w:val="single" w:sz="8" w:space="0" w:color="auto"/>
              <w:left w:val="single" w:sz="4" w:space="0" w:color="FFFFFF"/>
              <w:bottom w:val="single" w:sz="8" w:space="0" w:color="000000"/>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Status (Open / Closed)</w:t>
            </w:r>
          </w:p>
        </w:tc>
      </w:tr>
      <w:tr w:rsidR="00794ACE" w:rsidRPr="00794ACE" w:rsidTr="00794ACE">
        <w:trPr>
          <w:trHeight w:val="330"/>
        </w:trPr>
        <w:tc>
          <w:tcPr>
            <w:tcW w:w="1565" w:type="dxa"/>
            <w:vMerge/>
            <w:tcBorders>
              <w:top w:val="single" w:sz="8" w:space="0" w:color="auto"/>
              <w:left w:val="single" w:sz="4" w:space="0" w:color="auto"/>
              <w:bottom w:val="single" w:sz="8" w:space="0" w:color="000000"/>
              <w:right w:val="single" w:sz="4" w:space="0" w:color="FFFFFF"/>
            </w:tcBorders>
            <w:vAlign w:val="center"/>
            <w:hideMark/>
          </w:tcPr>
          <w:p w:rsidR="00794ACE" w:rsidRPr="00794ACE" w:rsidRDefault="00794ACE" w:rsidP="00794ACE">
            <w:pPr>
              <w:rPr>
                <w:rFonts w:eastAsia="Times New Roman"/>
                <w:b/>
                <w:bCs/>
                <w:color w:val="FFFFFF"/>
                <w:sz w:val="22"/>
                <w:szCs w:val="22"/>
                <w:lang w:eastAsia="en-GB"/>
              </w:rPr>
            </w:pPr>
          </w:p>
        </w:tc>
        <w:tc>
          <w:tcPr>
            <w:tcW w:w="3118" w:type="dxa"/>
            <w:vMerge/>
            <w:tcBorders>
              <w:top w:val="single" w:sz="8" w:space="0" w:color="auto"/>
              <w:left w:val="single" w:sz="4" w:space="0" w:color="FFFFFF"/>
              <w:bottom w:val="single" w:sz="8" w:space="0" w:color="000000"/>
              <w:right w:val="single" w:sz="4" w:space="0" w:color="FFFFFF"/>
            </w:tcBorders>
            <w:vAlign w:val="center"/>
            <w:hideMark/>
          </w:tcPr>
          <w:p w:rsidR="00794ACE" w:rsidRPr="00794ACE" w:rsidRDefault="00794ACE" w:rsidP="00794ACE">
            <w:pPr>
              <w:rPr>
                <w:rFonts w:eastAsia="Times New Roman"/>
                <w:b/>
                <w:bCs/>
                <w:color w:val="FFFFFF"/>
                <w:sz w:val="22"/>
                <w:szCs w:val="22"/>
                <w:lang w:eastAsia="en-GB"/>
              </w:rPr>
            </w:pPr>
          </w:p>
        </w:tc>
        <w:tc>
          <w:tcPr>
            <w:tcW w:w="709" w:type="dxa"/>
            <w:tcBorders>
              <w:top w:val="nil"/>
              <w:left w:val="nil"/>
              <w:bottom w:val="single" w:sz="8" w:space="0" w:color="auto"/>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P</w:t>
            </w:r>
          </w:p>
        </w:tc>
        <w:tc>
          <w:tcPr>
            <w:tcW w:w="567" w:type="dxa"/>
            <w:tcBorders>
              <w:top w:val="nil"/>
              <w:left w:val="nil"/>
              <w:bottom w:val="single" w:sz="8" w:space="0" w:color="auto"/>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I</w:t>
            </w:r>
          </w:p>
        </w:tc>
        <w:tc>
          <w:tcPr>
            <w:tcW w:w="850" w:type="dxa"/>
            <w:tcBorders>
              <w:top w:val="nil"/>
              <w:left w:val="nil"/>
              <w:bottom w:val="single" w:sz="8" w:space="0" w:color="auto"/>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Score</w:t>
            </w:r>
          </w:p>
        </w:tc>
        <w:tc>
          <w:tcPr>
            <w:tcW w:w="4536" w:type="dxa"/>
            <w:vMerge/>
            <w:tcBorders>
              <w:top w:val="single" w:sz="8" w:space="0" w:color="auto"/>
              <w:left w:val="single" w:sz="4" w:space="0" w:color="FFFFFF"/>
              <w:bottom w:val="single" w:sz="8" w:space="0" w:color="000000"/>
              <w:right w:val="single" w:sz="4" w:space="0" w:color="FFFFFF"/>
            </w:tcBorders>
            <w:vAlign w:val="center"/>
            <w:hideMark/>
          </w:tcPr>
          <w:p w:rsidR="00794ACE" w:rsidRPr="00794ACE" w:rsidRDefault="00794ACE" w:rsidP="00794ACE">
            <w:pPr>
              <w:rPr>
                <w:rFonts w:eastAsia="Times New Roman"/>
                <w:b/>
                <w:bCs/>
                <w:color w:val="FFFFFF"/>
                <w:sz w:val="22"/>
                <w:szCs w:val="22"/>
                <w:lang w:eastAsia="en-GB"/>
              </w:rPr>
            </w:pPr>
          </w:p>
        </w:tc>
        <w:tc>
          <w:tcPr>
            <w:tcW w:w="1276" w:type="dxa"/>
            <w:vMerge/>
            <w:tcBorders>
              <w:top w:val="single" w:sz="8" w:space="0" w:color="auto"/>
              <w:left w:val="single" w:sz="4" w:space="0" w:color="FFFFFF"/>
              <w:bottom w:val="single" w:sz="8" w:space="0" w:color="000000"/>
              <w:right w:val="single" w:sz="4" w:space="0" w:color="FFFFFF"/>
            </w:tcBorders>
            <w:vAlign w:val="center"/>
            <w:hideMark/>
          </w:tcPr>
          <w:p w:rsidR="00794ACE" w:rsidRPr="00794ACE" w:rsidRDefault="00794ACE" w:rsidP="00794ACE">
            <w:pPr>
              <w:rPr>
                <w:rFonts w:eastAsia="Times New Roman"/>
                <w:b/>
                <w:bCs/>
                <w:color w:val="FFFFFF"/>
                <w:sz w:val="22"/>
                <w:szCs w:val="22"/>
                <w:lang w:eastAsia="en-GB"/>
              </w:rPr>
            </w:pPr>
          </w:p>
        </w:tc>
        <w:tc>
          <w:tcPr>
            <w:tcW w:w="567" w:type="dxa"/>
            <w:tcBorders>
              <w:top w:val="nil"/>
              <w:left w:val="nil"/>
              <w:bottom w:val="single" w:sz="8" w:space="0" w:color="auto"/>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P</w:t>
            </w:r>
          </w:p>
        </w:tc>
        <w:tc>
          <w:tcPr>
            <w:tcW w:w="709" w:type="dxa"/>
            <w:tcBorders>
              <w:top w:val="nil"/>
              <w:left w:val="nil"/>
              <w:bottom w:val="single" w:sz="8" w:space="0" w:color="auto"/>
              <w:right w:val="single" w:sz="4" w:space="0" w:color="FFFFFF"/>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I</w:t>
            </w:r>
          </w:p>
        </w:tc>
        <w:tc>
          <w:tcPr>
            <w:tcW w:w="850" w:type="dxa"/>
            <w:tcBorders>
              <w:top w:val="nil"/>
              <w:left w:val="nil"/>
              <w:bottom w:val="single" w:sz="8" w:space="0" w:color="auto"/>
              <w:right w:val="single" w:sz="8" w:space="0" w:color="auto"/>
            </w:tcBorders>
            <w:shd w:val="clear" w:color="000000" w:fill="003366"/>
            <w:vAlign w:val="center"/>
            <w:hideMark/>
          </w:tcPr>
          <w:p w:rsidR="00794ACE" w:rsidRPr="00794ACE" w:rsidRDefault="00794ACE" w:rsidP="00794ACE">
            <w:pPr>
              <w:jc w:val="center"/>
              <w:rPr>
                <w:rFonts w:eastAsia="Times New Roman"/>
                <w:b/>
                <w:bCs/>
                <w:color w:val="FFFFFF"/>
                <w:sz w:val="22"/>
                <w:szCs w:val="22"/>
                <w:lang w:eastAsia="en-GB"/>
              </w:rPr>
            </w:pPr>
            <w:r w:rsidRPr="00794ACE">
              <w:rPr>
                <w:rFonts w:eastAsia="Times New Roman"/>
                <w:b/>
                <w:bCs/>
                <w:color w:val="FFFFFF"/>
                <w:sz w:val="22"/>
                <w:szCs w:val="22"/>
                <w:lang w:eastAsia="en-GB"/>
              </w:rPr>
              <w:t>Score</w:t>
            </w:r>
          </w:p>
        </w:tc>
        <w:tc>
          <w:tcPr>
            <w:tcW w:w="1134" w:type="dxa"/>
            <w:vMerge/>
            <w:tcBorders>
              <w:top w:val="single" w:sz="8" w:space="0" w:color="auto"/>
              <w:left w:val="single" w:sz="4" w:space="0" w:color="FFFFFF"/>
              <w:bottom w:val="single" w:sz="8" w:space="0" w:color="000000"/>
              <w:right w:val="single" w:sz="4" w:space="0" w:color="FFFFFF"/>
            </w:tcBorders>
            <w:vAlign w:val="center"/>
            <w:hideMark/>
          </w:tcPr>
          <w:p w:rsidR="00794ACE" w:rsidRPr="00794ACE" w:rsidRDefault="00794ACE" w:rsidP="00794ACE">
            <w:pPr>
              <w:rPr>
                <w:rFonts w:eastAsia="Times New Roman"/>
                <w:b/>
                <w:bCs/>
                <w:color w:val="FFFFFF"/>
                <w:sz w:val="22"/>
                <w:szCs w:val="22"/>
                <w:lang w:eastAsia="en-GB"/>
              </w:rPr>
            </w:pPr>
          </w:p>
        </w:tc>
      </w:tr>
      <w:tr w:rsidR="00794ACE" w:rsidRPr="00794ACE" w:rsidTr="00794ACE">
        <w:trPr>
          <w:trHeight w:val="243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Technical, operational &amp; infrastructure</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Unknown hidden building defects and conditions, causing delays and/or increased costs.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nil"/>
              <w:bottom w:val="single" w:sz="4" w:space="0" w:color="auto"/>
              <w:right w:val="single" w:sz="4" w:space="0" w:color="auto"/>
            </w:tcBorders>
            <w:shd w:val="clear" w:color="000000" w:fill="FFC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9</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Surveys during the development phase but ability to undertaken intrusive surveys during this phase is limited.</w:t>
            </w:r>
            <w:r w:rsidRPr="00794ACE">
              <w:rPr>
                <w:rFonts w:eastAsia="Times New Roman"/>
                <w:sz w:val="22"/>
                <w:szCs w:val="22"/>
                <w:lang w:eastAsia="en-GB"/>
              </w:rPr>
              <w:br/>
            </w:r>
            <w:r w:rsidRPr="00794ACE">
              <w:rPr>
                <w:rFonts w:eastAsia="Times New Roman"/>
                <w:sz w:val="22"/>
                <w:szCs w:val="22"/>
                <w:lang w:eastAsia="en-GB"/>
              </w:rPr>
              <w:br/>
              <w:t>Past designs reviewed but there are unrecorded works that makes it difficult to predict what will be found.  Intrusive surveys where possible undertaken.  Strip out as part of enabling works prior to tender.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Purcell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nil"/>
              <w:bottom w:val="single" w:sz="4" w:space="0" w:color="auto"/>
              <w:right w:val="single" w:sz="4" w:space="0" w:color="auto"/>
            </w:tcBorders>
            <w:shd w:val="clear" w:color="000000" w:fill="FFC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3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Economic, financial &amp; market</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Asbestos known to be in certain locations causing delay and/or increased costs.</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16</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Asbestos survey and asbestos removal.</w:t>
            </w:r>
            <w:r w:rsidRPr="00794ACE">
              <w:rPr>
                <w:rFonts w:eastAsia="Times New Roman"/>
                <w:sz w:val="22"/>
                <w:szCs w:val="22"/>
                <w:lang w:eastAsia="en-GB"/>
              </w:rPr>
              <w:br/>
            </w:r>
            <w:r w:rsidRPr="00794ACE">
              <w:rPr>
                <w:rFonts w:eastAsia="Times New Roman"/>
                <w:sz w:val="22"/>
                <w:szCs w:val="22"/>
                <w:lang w:eastAsia="en-GB"/>
              </w:rPr>
              <w:br/>
              <w:t>Asbestos survey undertaken.  Asbestos to be removed during pre-enabling works.</w:t>
            </w:r>
          </w:p>
        </w:tc>
        <w:tc>
          <w:tcPr>
            <w:tcW w:w="1276" w:type="dxa"/>
            <w:tcBorders>
              <w:top w:val="nil"/>
              <w:left w:val="nil"/>
              <w:bottom w:val="single" w:sz="4" w:space="0" w:color="auto"/>
              <w:right w:val="single" w:sz="4" w:space="0" w:color="auto"/>
            </w:tcBorders>
            <w:shd w:val="clear" w:color="000000" w:fill="FFFFFF"/>
            <w:noWrap/>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Purcell</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83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Technical, operational &amp; infrastructure</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Handles from bikes attached to external railings break / damage windows in the Basement, causing ongoing cost increases, damage to historic fabric</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5</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nil"/>
              <w:left w:val="nil"/>
              <w:bottom w:val="single" w:sz="4" w:space="0" w:color="auto"/>
              <w:right w:val="single" w:sz="4" w:space="0" w:color="auto"/>
            </w:tcBorders>
            <w:shd w:val="clear" w:color="000000" w:fill="FFC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15</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Reviewing designs to help mitigate the situation.</w:t>
            </w:r>
            <w:r w:rsidRPr="00794ACE">
              <w:rPr>
                <w:rFonts w:eastAsia="Times New Roman"/>
                <w:sz w:val="22"/>
                <w:szCs w:val="22"/>
                <w:lang w:eastAsia="en-GB"/>
              </w:rPr>
              <w:br/>
            </w:r>
            <w:r w:rsidRPr="00794ACE">
              <w:rPr>
                <w:rFonts w:eastAsia="Times New Roman"/>
                <w:sz w:val="22"/>
                <w:szCs w:val="22"/>
                <w:lang w:eastAsia="en-GB"/>
              </w:rPr>
              <w:br/>
              <w:t>Assessing different designs solutions such as putting historic bikes on railings to mitigate the risk of public attaching their bikes and breaking the windows in this area.</w:t>
            </w:r>
            <w:r>
              <w:rPr>
                <w:rFonts w:eastAsia="Times New Roman"/>
                <w:sz w:val="22"/>
                <w:szCs w:val="22"/>
                <w:lang w:eastAsia="en-GB"/>
              </w:rPr>
              <w:t xml:space="preserve"> </w:t>
            </w:r>
            <w:r w:rsidRPr="00794ACE">
              <w:rPr>
                <w:rFonts w:eastAsia="Times New Roman"/>
                <w:sz w:val="22"/>
                <w:szCs w:val="22"/>
                <w:lang w:eastAsia="en-GB"/>
              </w:rPr>
              <w:t>Needs a maintenance solution.</w:t>
            </w:r>
          </w:p>
        </w:tc>
        <w:tc>
          <w:tcPr>
            <w:tcW w:w="127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36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Economic, financial &amp; market</w:t>
            </w:r>
          </w:p>
        </w:tc>
        <w:tc>
          <w:tcPr>
            <w:tcW w:w="3118" w:type="dxa"/>
            <w:tcBorders>
              <w:top w:val="nil"/>
              <w:left w:val="nil"/>
              <w:bottom w:val="single" w:sz="4" w:space="0" w:color="auto"/>
              <w:right w:val="single" w:sz="4" w:space="0" w:color="auto"/>
            </w:tcBorders>
            <w:shd w:val="clear" w:color="auto" w:fill="auto"/>
            <w:noWrap/>
            <w:vAlign w:val="center"/>
            <w:hideMark/>
          </w:tcPr>
          <w:p w:rsidR="00794ACE" w:rsidRPr="00794ACE" w:rsidRDefault="00794ACE" w:rsidP="00794ACE">
            <w:pPr>
              <w:rPr>
                <w:rFonts w:eastAsia="Times New Roman"/>
                <w:color w:val="000000"/>
                <w:sz w:val="22"/>
                <w:szCs w:val="22"/>
                <w:lang w:eastAsia="en-GB"/>
              </w:rPr>
            </w:pPr>
            <w:r w:rsidRPr="00794ACE">
              <w:rPr>
                <w:rFonts w:eastAsia="Times New Roman"/>
                <w:color w:val="000000"/>
                <w:sz w:val="22"/>
                <w:szCs w:val="22"/>
                <w:lang w:eastAsia="en-GB"/>
              </w:rPr>
              <w:t>No match funding and project fails.</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5</w:t>
            </w:r>
          </w:p>
        </w:tc>
        <w:tc>
          <w:tcPr>
            <w:tcW w:w="850"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15</w:t>
            </w:r>
          </w:p>
        </w:tc>
        <w:tc>
          <w:tcPr>
            <w:tcW w:w="4536" w:type="dxa"/>
            <w:tcBorders>
              <w:top w:val="nil"/>
              <w:left w:val="nil"/>
              <w:bottom w:val="single" w:sz="4" w:space="0" w:color="auto"/>
              <w:right w:val="single" w:sz="4" w:space="0" w:color="auto"/>
            </w:tcBorders>
            <w:shd w:val="clear" w:color="auto" w:fill="auto"/>
            <w:vAlign w:val="center"/>
            <w:hideMark/>
          </w:tcPr>
          <w:p w:rsidR="00794ACE" w:rsidRDefault="00794ACE" w:rsidP="00794ACE">
            <w:pPr>
              <w:rPr>
                <w:rFonts w:eastAsia="Times New Roman"/>
                <w:sz w:val="22"/>
                <w:szCs w:val="22"/>
                <w:lang w:eastAsia="en-GB"/>
              </w:rPr>
            </w:pPr>
            <w:r w:rsidRPr="00794ACE">
              <w:rPr>
                <w:rFonts w:eastAsia="Times New Roman"/>
                <w:color w:val="000000"/>
                <w:sz w:val="22"/>
                <w:szCs w:val="22"/>
                <w:lang w:eastAsia="en-GB"/>
              </w:rPr>
              <w:t>Regular meetings and updates with HLF undertaken through development phase.</w:t>
            </w:r>
            <w:r w:rsidRPr="00794ACE">
              <w:rPr>
                <w:rFonts w:eastAsia="Times New Roman"/>
                <w:color w:val="000000"/>
                <w:sz w:val="22"/>
                <w:szCs w:val="22"/>
                <w:lang w:eastAsia="en-GB"/>
              </w:rPr>
              <w:br/>
            </w:r>
            <w:r w:rsidRPr="00794ACE">
              <w:rPr>
                <w:rFonts w:eastAsia="Times New Roman"/>
                <w:color w:val="000000"/>
                <w:sz w:val="22"/>
                <w:szCs w:val="22"/>
                <w:lang w:eastAsia="en-GB"/>
              </w:rPr>
              <w:br/>
              <w:t>HLF to review all plans.  Team appointed that are experienced of undertaking HLF projects.</w:t>
            </w:r>
            <w:r w:rsidRPr="00794ACE">
              <w:rPr>
                <w:rFonts w:eastAsia="Times New Roman"/>
                <w:sz w:val="22"/>
                <w:szCs w:val="22"/>
                <w:lang w:eastAsia="en-GB"/>
              </w:rPr>
              <w:t xml:space="preserve"> </w:t>
            </w:r>
          </w:p>
          <w:p w:rsidR="00794ACE" w:rsidRDefault="00794ACE" w:rsidP="00794ACE">
            <w:pPr>
              <w:rPr>
                <w:rFonts w:eastAsia="Times New Roman"/>
                <w:sz w:val="22"/>
                <w:szCs w:val="22"/>
                <w:lang w:eastAsia="en-GB"/>
              </w:rPr>
            </w:pPr>
          </w:p>
          <w:p w:rsidR="00794ACE" w:rsidRPr="00794ACE" w:rsidRDefault="00794ACE" w:rsidP="00794ACE">
            <w:pPr>
              <w:rPr>
                <w:rFonts w:eastAsia="Times New Roman"/>
                <w:color w:val="000000"/>
                <w:sz w:val="22"/>
                <w:szCs w:val="22"/>
                <w:lang w:eastAsia="en-GB"/>
              </w:rPr>
            </w:pPr>
            <w:r w:rsidRPr="00794ACE">
              <w:rPr>
                <w:rFonts w:eastAsia="Times New Roman"/>
                <w:sz w:val="22"/>
                <w:szCs w:val="22"/>
                <w:lang w:eastAsia="en-GB"/>
              </w:rPr>
              <w:t>Fundraising Plan to be put in place.  Fundraising Consultant appointed.</w:t>
            </w:r>
            <w:r w:rsidRPr="00794ACE">
              <w:rPr>
                <w:rFonts w:eastAsia="Times New Roman"/>
                <w:sz w:val="22"/>
                <w:szCs w:val="22"/>
                <w:lang w:eastAsia="en-GB"/>
              </w:rPr>
              <w:t xml:space="preserve"> </w:t>
            </w:r>
            <w:r w:rsidRPr="00794ACE">
              <w:rPr>
                <w:rFonts w:eastAsia="Times New Roman"/>
                <w:sz w:val="22"/>
                <w:szCs w:val="22"/>
                <w:lang w:eastAsia="en-GB"/>
              </w:rPr>
              <w:t>Trust set up for fundraising</w:t>
            </w:r>
          </w:p>
        </w:tc>
        <w:tc>
          <w:tcPr>
            <w:tcW w:w="1276" w:type="dxa"/>
            <w:tcBorders>
              <w:top w:val="nil"/>
              <w:left w:val="nil"/>
              <w:bottom w:val="single" w:sz="4" w:space="0" w:color="auto"/>
              <w:right w:val="single" w:sz="4" w:space="0" w:color="auto"/>
            </w:tcBorders>
            <w:shd w:val="clear" w:color="auto" w:fill="auto"/>
            <w:noWrap/>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35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lastRenderedPageBreak/>
              <w:t>Strategic &amp; commercial</w:t>
            </w:r>
          </w:p>
        </w:tc>
        <w:tc>
          <w:tcPr>
            <w:tcW w:w="3118"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Reduced scope of design. Risk that these result in dissatisfaction from client and/or wider stakeholders. Causing Increased costs, client/user dissatisfaction.</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850" w:type="dxa"/>
            <w:tcBorders>
              <w:top w:val="nil"/>
              <w:left w:val="nil"/>
              <w:bottom w:val="single" w:sz="4" w:space="0" w:color="auto"/>
              <w:right w:val="single" w:sz="4" w:space="0" w:color="auto"/>
            </w:tcBorders>
            <w:shd w:val="clear" w:color="000000" w:fill="FFC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8</w:t>
            </w:r>
          </w:p>
        </w:tc>
        <w:tc>
          <w:tcPr>
            <w:tcW w:w="453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Budgets to be kept under review throughout development phase.</w:t>
            </w:r>
            <w:r w:rsidRPr="00794ACE">
              <w:rPr>
                <w:rFonts w:eastAsia="Times New Roman"/>
                <w:sz w:val="22"/>
                <w:szCs w:val="22"/>
                <w:lang w:eastAsia="en-GB"/>
              </w:rPr>
              <w:br/>
            </w:r>
            <w:r w:rsidRPr="00794ACE">
              <w:rPr>
                <w:rFonts w:eastAsia="Times New Roman"/>
                <w:sz w:val="22"/>
                <w:szCs w:val="22"/>
                <w:lang w:eastAsia="en-GB"/>
              </w:rPr>
              <w:br/>
              <w:t xml:space="preserve">QS </w:t>
            </w:r>
            <w:proofErr w:type="gramStart"/>
            <w:r w:rsidRPr="00794ACE">
              <w:rPr>
                <w:rFonts w:eastAsia="Times New Roman"/>
                <w:sz w:val="22"/>
                <w:szCs w:val="22"/>
                <w:lang w:eastAsia="en-GB"/>
              </w:rPr>
              <w:t>to</w:t>
            </w:r>
            <w:proofErr w:type="gramEnd"/>
            <w:r w:rsidRPr="00794ACE">
              <w:rPr>
                <w:rFonts w:eastAsia="Times New Roman"/>
                <w:sz w:val="22"/>
                <w:szCs w:val="22"/>
                <w:lang w:eastAsia="en-GB"/>
              </w:rPr>
              <w:t xml:space="preserve"> keep budget under review. Undertake VE exercises.</w:t>
            </w:r>
          </w:p>
        </w:tc>
        <w:tc>
          <w:tcPr>
            <w:tcW w:w="127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Faithful &amp; Gould</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42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Economic, financial &amp; market</w:t>
            </w:r>
          </w:p>
        </w:tc>
        <w:tc>
          <w:tcPr>
            <w:tcW w:w="3118"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color w:val="000000"/>
                <w:sz w:val="22"/>
                <w:szCs w:val="22"/>
                <w:lang w:eastAsia="en-GB"/>
              </w:rPr>
            </w:pPr>
            <w:r w:rsidRPr="00794ACE">
              <w:rPr>
                <w:rFonts w:eastAsia="Times New Roman"/>
                <w:color w:val="000000"/>
                <w:sz w:val="22"/>
                <w:szCs w:val="22"/>
                <w:lang w:eastAsia="en-GB"/>
              </w:rPr>
              <w:t>Brexit causes change in inflation, procurement and construction industry causing programme delay, cost increases.</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nil"/>
              <w:left w:val="nil"/>
              <w:bottom w:val="single" w:sz="4" w:space="0" w:color="auto"/>
              <w:right w:val="single" w:sz="4" w:space="0" w:color="auto"/>
            </w:tcBorders>
            <w:shd w:val="clear" w:color="000000" w:fill="FFC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9</w:t>
            </w:r>
          </w:p>
        </w:tc>
        <w:tc>
          <w:tcPr>
            <w:tcW w:w="453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color w:val="000000"/>
                <w:sz w:val="22"/>
                <w:szCs w:val="22"/>
                <w:lang w:eastAsia="en-GB"/>
              </w:rPr>
            </w:pPr>
            <w:r w:rsidRPr="00794ACE">
              <w:rPr>
                <w:rFonts w:eastAsia="Times New Roman"/>
                <w:color w:val="000000"/>
                <w:sz w:val="22"/>
                <w:szCs w:val="22"/>
                <w:lang w:eastAsia="en-GB"/>
              </w:rPr>
              <w:t>Keep changes under review.</w:t>
            </w:r>
            <w:r w:rsidRPr="00794ACE">
              <w:rPr>
                <w:rFonts w:eastAsia="Times New Roman"/>
                <w:color w:val="000000"/>
                <w:sz w:val="22"/>
                <w:szCs w:val="22"/>
                <w:lang w:eastAsia="en-GB"/>
              </w:rPr>
              <w:br/>
            </w:r>
            <w:r w:rsidRPr="00794ACE">
              <w:rPr>
                <w:rFonts w:eastAsia="Times New Roman"/>
                <w:color w:val="000000"/>
                <w:sz w:val="22"/>
                <w:szCs w:val="22"/>
                <w:lang w:eastAsia="en-GB"/>
              </w:rPr>
              <w:br/>
              <w:t xml:space="preserve">Faithful &amp; Gould to keep inflation and construction trends under review.  OCC Procurement to </w:t>
            </w:r>
            <w:proofErr w:type="gramStart"/>
            <w:r w:rsidRPr="00794ACE">
              <w:rPr>
                <w:rFonts w:eastAsia="Times New Roman"/>
                <w:color w:val="000000"/>
                <w:sz w:val="22"/>
                <w:szCs w:val="22"/>
                <w:lang w:eastAsia="en-GB"/>
              </w:rPr>
              <w:t>advise</w:t>
            </w:r>
            <w:proofErr w:type="gramEnd"/>
            <w:r w:rsidRPr="00794ACE">
              <w:rPr>
                <w:rFonts w:eastAsia="Times New Roman"/>
                <w:color w:val="000000"/>
                <w:sz w:val="22"/>
                <w:szCs w:val="22"/>
                <w:lang w:eastAsia="en-GB"/>
              </w:rPr>
              <w:t xml:space="preserve"> on procurement changes.</w:t>
            </w:r>
          </w:p>
        </w:tc>
        <w:tc>
          <w:tcPr>
            <w:tcW w:w="127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color w:val="000000"/>
                <w:sz w:val="22"/>
                <w:szCs w:val="22"/>
                <w:lang w:eastAsia="en-GB"/>
              </w:rPr>
            </w:pPr>
            <w:r w:rsidRPr="00794ACE">
              <w:rPr>
                <w:rFonts w:eastAsia="Times New Roman"/>
                <w:color w:val="000000"/>
                <w:sz w:val="22"/>
                <w:szCs w:val="22"/>
                <w:lang w:eastAsia="en-GB"/>
              </w:rPr>
              <w:t>OCC/Faithful &amp; Gould</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6</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18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Economic, financial &amp; market</w:t>
            </w:r>
          </w:p>
        </w:tc>
        <w:tc>
          <w:tcPr>
            <w:tcW w:w="3118"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color w:val="000000"/>
                <w:sz w:val="22"/>
                <w:szCs w:val="22"/>
                <w:lang w:eastAsia="en-GB"/>
              </w:rPr>
            </w:pPr>
            <w:r w:rsidRPr="00794ACE">
              <w:rPr>
                <w:rFonts w:eastAsia="Times New Roman"/>
                <w:color w:val="000000"/>
                <w:sz w:val="22"/>
                <w:szCs w:val="22"/>
                <w:lang w:eastAsia="en-GB"/>
              </w:rPr>
              <w:t>Contingency set at 10% which is the HLF minimum recommendation. Risk that project will run out of contingency mindful of historic building context</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nil"/>
              <w:left w:val="nil"/>
              <w:bottom w:val="single" w:sz="4" w:space="0" w:color="auto"/>
              <w:right w:val="single" w:sz="4" w:space="0" w:color="auto"/>
            </w:tcBorders>
            <w:shd w:val="clear" w:color="000000" w:fill="FFC0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9</w:t>
            </w:r>
          </w:p>
        </w:tc>
        <w:tc>
          <w:tcPr>
            <w:tcW w:w="453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color w:val="000000"/>
                <w:sz w:val="22"/>
                <w:szCs w:val="22"/>
                <w:lang w:eastAsia="en-GB"/>
              </w:rPr>
            </w:pPr>
            <w:r w:rsidRPr="00794ACE">
              <w:rPr>
                <w:rFonts w:eastAsia="Times New Roman"/>
                <w:color w:val="000000"/>
                <w:sz w:val="22"/>
                <w:szCs w:val="22"/>
                <w:lang w:eastAsia="en-GB"/>
              </w:rPr>
              <w:t>Keep % contingency under review. Front load effort with survey work to reduce unknown unknowns.</w:t>
            </w:r>
          </w:p>
        </w:tc>
        <w:tc>
          <w:tcPr>
            <w:tcW w:w="127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6</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11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Technical, operational &amp; infrastructure</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Asbestos disturbance during decant</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6</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Museum Team and Property Maintenance to keep under review during planning and actual decant</w:t>
            </w:r>
          </w:p>
        </w:tc>
        <w:tc>
          <w:tcPr>
            <w:tcW w:w="127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6</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301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Technical, operational &amp; infrastructure</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Design expectations not met, including design unsympathetic to existing building and inappropriate introduction of services causing Statutory approvals not granted, project cost increases and/or programme delays</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6</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a) Lead consultant appointed with proven track record of dealing with complex historic sites and similar buildings</w:t>
            </w:r>
            <w:r w:rsidRPr="00794ACE">
              <w:rPr>
                <w:rFonts w:eastAsia="Times New Roman"/>
                <w:sz w:val="22"/>
                <w:szCs w:val="22"/>
                <w:lang w:eastAsia="en-GB"/>
              </w:rPr>
              <w:br/>
              <w:t>b) Design team with appropriate skills and experience is working effectively</w:t>
            </w:r>
            <w:r w:rsidRPr="00794ACE">
              <w:rPr>
                <w:rFonts w:eastAsia="Times New Roman"/>
                <w:sz w:val="22"/>
                <w:szCs w:val="22"/>
                <w:lang w:eastAsia="en-GB"/>
              </w:rPr>
              <w:br/>
            </w:r>
            <w:r w:rsidRPr="00794ACE">
              <w:rPr>
                <w:rFonts w:eastAsia="Times New Roman"/>
                <w:sz w:val="22"/>
                <w:szCs w:val="22"/>
                <w:lang w:eastAsia="en-GB"/>
              </w:rPr>
              <w:br/>
              <w:t>Regular meeting with Client so that any expectations not met can be quickly rectified.  Meetings undertaken with Planning and Historic England.  Planning not required.</w:t>
            </w:r>
          </w:p>
        </w:tc>
        <w:tc>
          <w:tcPr>
            <w:tcW w:w="127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Purcell</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896DF1">
        <w:trPr>
          <w:trHeight w:val="117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Technical, operational &amp; infrastructure</w:t>
            </w:r>
          </w:p>
        </w:tc>
        <w:tc>
          <w:tcPr>
            <w:tcW w:w="3118" w:type="dxa"/>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Clicker concrete causes issues between the slabs in the basement and ground floor causing impact on programme and cost.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Keep under review and liaise with property/maintenance team on likely occurrence.</w:t>
            </w:r>
            <w:r w:rsidRPr="00794ACE">
              <w:rPr>
                <w:rFonts w:eastAsia="Times New Roman"/>
                <w:sz w:val="22"/>
                <w:szCs w:val="22"/>
                <w:lang w:eastAsia="en-GB"/>
              </w:rPr>
              <w:br/>
            </w:r>
            <w:r w:rsidRPr="00794ACE">
              <w:rPr>
                <w:rFonts w:eastAsia="Times New Roman"/>
                <w:sz w:val="22"/>
                <w:szCs w:val="22"/>
                <w:lang w:eastAsia="en-GB"/>
              </w:rPr>
              <w:br/>
              <w:t>Kept under review in design discussions.</w:t>
            </w:r>
          </w:p>
        </w:tc>
        <w:tc>
          <w:tcPr>
            <w:tcW w:w="1276" w:type="dxa"/>
            <w:tcBorders>
              <w:top w:val="single" w:sz="4" w:space="0" w:color="808080"/>
              <w:left w:val="single" w:sz="4" w:space="0" w:color="808080"/>
              <w:bottom w:val="single" w:sz="4" w:space="0" w:color="auto"/>
              <w:right w:val="single" w:sz="4" w:space="0" w:color="808080"/>
            </w:tcBorders>
            <w:shd w:val="clear" w:color="000000" w:fill="FFFFFF"/>
            <w:noWrap/>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Purcell</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896DF1">
        <w:trPr>
          <w:trHeight w:val="118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lastRenderedPageBreak/>
              <w:t>Technical, operational &amp; infrastructure</w:t>
            </w:r>
          </w:p>
        </w:tc>
        <w:tc>
          <w:tcPr>
            <w:tcW w:w="3118"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Inflation rates changed since R1 submission so inflation poses a cost risk.</w:t>
            </w:r>
            <w:r w:rsidRPr="00794ACE">
              <w:rPr>
                <w:rFonts w:eastAsia="Times New Roman"/>
                <w:sz w:val="22"/>
                <w:szCs w:val="22"/>
                <w:lang w:eastAsia="en-GB"/>
              </w:rPr>
              <w:br/>
              <w:t xml:space="preserve"> Unknown outside influences such as Brexit that may affect inflation.</w:t>
            </w:r>
            <w:r w:rsidRPr="00794ACE">
              <w:rPr>
                <w:rFonts w:eastAsia="Times New Roman"/>
                <w:sz w:val="22"/>
                <w:szCs w:val="22"/>
                <w:lang w:eastAsia="en-GB"/>
              </w:rPr>
              <w:br/>
              <w:t>Causing Increased costs.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Keep under review and liaise with property/maintenance team.</w:t>
            </w:r>
            <w:r w:rsidRPr="00794ACE">
              <w:rPr>
                <w:rFonts w:eastAsia="Times New Roman"/>
                <w:sz w:val="22"/>
                <w:szCs w:val="22"/>
                <w:lang w:eastAsia="en-GB"/>
              </w:rPr>
              <w:br/>
            </w:r>
            <w:r w:rsidRPr="00794ACE">
              <w:rPr>
                <w:rFonts w:eastAsia="Times New Roman"/>
                <w:sz w:val="22"/>
                <w:szCs w:val="22"/>
                <w:lang w:eastAsia="en-GB"/>
              </w:rPr>
              <w:br/>
              <w:t>Kept under review in design discussions.</w:t>
            </w:r>
          </w:p>
        </w:tc>
        <w:tc>
          <w:tcPr>
            <w:tcW w:w="1276" w:type="dxa"/>
            <w:tcBorders>
              <w:top w:val="single" w:sz="4" w:space="0" w:color="auto"/>
              <w:left w:val="single" w:sz="4" w:space="0" w:color="808080"/>
              <w:bottom w:val="single" w:sz="4" w:space="0" w:color="auto"/>
              <w:right w:val="single" w:sz="4" w:space="0" w:color="808080"/>
            </w:tcBorders>
            <w:shd w:val="clear" w:color="000000" w:fill="FFFFFF"/>
            <w:noWrap/>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Faithful &amp; Gould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896DF1">
        <w:trPr>
          <w:trHeight w:val="145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Organisational, human &amp; management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Length of project increases possibility of change in key personnel, and could potentially lead to major changes late in the delivery phase or post-contract. Causing Delays and/or increased costs from late changes.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Council representatives buy into proposals and they fit with the overall master planning and budgets.</w:t>
            </w:r>
            <w:r w:rsidRPr="00794ACE">
              <w:rPr>
                <w:rFonts w:eastAsia="Times New Roman"/>
                <w:sz w:val="22"/>
                <w:szCs w:val="22"/>
                <w:lang w:eastAsia="en-GB"/>
              </w:rPr>
              <w:br/>
            </w:r>
            <w:r w:rsidRPr="00794ACE">
              <w:rPr>
                <w:rFonts w:eastAsia="Times New Roman"/>
                <w:sz w:val="22"/>
                <w:szCs w:val="22"/>
                <w:lang w:eastAsia="en-GB"/>
              </w:rPr>
              <w:br/>
              <w:t>Detailed project files kept in case there is a change of personnel.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42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Strategic &amp; commercial</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City Centre location may mean restriction on deliveries, causing issues with getting materials delivered to site</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Restrictions form part of the constraints within the tender documents so that the Contractors can plan ahead.</w:t>
            </w:r>
            <w:r w:rsidRPr="00794ACE">
              <w:rPr>
                <w:rFonts w:eastAsia="Times New Roman"/>
                <w:sz w:val="22"/>
                <w:szCs w:val="22"/>
                <w:lang w:eastAsia="en-GB"/>
              </w:rPr>
              <w:br/>
            </w:r>
            <w:r w:rsidRPr="00794ACE">
              <w:rPr>
                <w:rFonts w:eastAsia="Times New Roman"/>
                <w:sz w:val="22"/>
                <w:szCs w:val="22"/>
                <w:lang w:eastAsia="en-GB"/>
              </w:rPr>
              <w:br/>
              <w:t>Will form part of the tender information.</w:t>
            </w:r>
          </w:p>
        </w:tc>
        <w:tc>
          <w:tcPr>
            <w:tcW w:w="127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23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Environmental</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Gallery spaces not controlled environmental conditions causing impact on design and display conditions.</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Display cases to be local environment controls.</w:t>
            </w:r>
            <w:r w:rsidRPr="00794ACE">
              <w:rPr>
                <w:rFonts w:eastAsia="Times New Roman"/>
                <w:sz w:val="22"/>
                <w:szCs w:val="22"/>
                <w:lang w:eastAsia="en-GB"/>
              </w:rPr>
              <w:br/>
            </w:r>
            <w:r w:rsidRPr="00794ACE">
              <w:rPr>
                <w:rFonts w:eastAsia="Times New Roman"/>
                <w:sz w:val="22"/>
                <w:szCs w:val="22"/>
                <w:lang w:eastAsia="en-GB"/>
              </w:rPr>
              <w:br/>
              <w:t>To be kept under review when determining objects to be selected for display.  Cases to provide environment required.</w:t>
            </w:r>
          </w:p>
        </w:tc>
        <w:tc>
          <w:tcPr>
            <w:tcW w:w="1276" w:type="dxa"/>
            <w:tcBorders>
              <w:top w:val="nil"/>
              <w:left w:val="nil"/>
              <w:bottom w:val="single" w:sz="4" w:space="0" w:color="auto"/>
              <w:right w:val="single" w:sz="4" w:space="0" w:color="auto"/>
            </w:tcBorders>
            <w:shd w:val="clear" w:color="000000" w:fill="FFFFFF"/>
            <w:noWrap/>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29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Technical, operational &amp; infrastructure</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Output for FM purposes not clearly defined causing BIM model fails.</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 xml:space="preserve">Purcell to guide and assist OCC through process.  </w:t>
            </w:r>
            <w:proofErr w:type="gramStart"/>
            <w:r w:rsidRPr="00794ACE">
              <w:rPr>
                <w:rFonts w:eastAsia="Times New Roman"/>
                <w:sz w:val="22"/>
                <w:szCs w:val="22"/>
                <w:lang w:eastAsia="en-GB"/>
              </w:rPr>
              <w:t>Review of OCC BIM</w:t>
            </w:r>
            <w:r w:rsidRPr="00794ACE">
              <w:rPr>
                <w:rFonts w:eastAsia="Times New Roman"/>
                <w:sz w:val="22"/>
                <w:szCs w:val="22"/>
                <w:lang w:eastAsia="en-GB"/>
              </w:rPr>
              <w:br/>
            </w:r>
            <w:r w:rsidRPr="00794ACE">
              <w:rPr>
                <w:rFonts w:eastAsia="Times New Roman"/>
                <w:sz w:val="22"/>
                <w:szCs w:val="22"/>
                <w:lang w:eastAsia="en-GB"/>
              </w:rPr>
              <w:br/>
              <w:t>Purcell have</w:t>
            </w:r>
            <w:proofErr w:type="gramEnd"/>
            <w:r w:rsidRPr="00794ACE">
              <w:rPr>
                <w:rFonts w:eastAsia="Times New Roman"/>
                <w:sz w:val="22"/>
                <w:szCs w:val="22"/>
                <w:lang w:eastAsia="en-GB"/>
              </w:rPr>
              <w:t xml:space="preserve"> within their team a BIM Manager.</w:t>
            </w:r>
          </w:p>
        </w:tc>
        <w:tc>
          <w:tcPr>
            <w:tcW w:w="127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Purcell</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896DF1">
        <w:trPr>
          <w:trHeight w:val="157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Organisational, human &amp; management</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 xml:space="preserve">Community Co-Curation </w:t>
            </w:r>
            <w:proofErr w:type="gramStart"/>
            <w:r w:rsidRPr="00794ACE">
              <w:rPr>
                <w:rFonts w:eastAsia="Times New Roman"/>
                <w:sz w:val="22"/>
                <w:szCs w:val="22"/>
                <w:lang w:eastAsia="en-GB"/>
              </w:rPr>
              <w:t>Time consuming</w:t>
            </w:r>
            <w:proofErr w:type="gramEnd"/>
            <w:r w:rsidRPr="00794ACE">
              <w:rPr>
                <w:rFonts w:eastAsia="Times New Roman"/>
                <w:sz w:val="22"/>
                <w:szCs w:val="22"/>
                <w:lang w:eastAsia="en-GB"/>
              </w:rPr>
              <w:t xml:space="preserve"> and impacts on programme, exhibition designs and research causing programme delay.</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Integrated in Activity and Interpretation Plans.</w:t>
            </w:r>
            <w:r w:rsidRPr="00794ACE">
              <w:rPr>
                <w:rFonts w:eastAsia="Times New Roman"/>
                <w:sz w:val="22"/>
                <w:szCs w:val="22"/>
                <w:lang w:eastAsia="en-GB"/>
              </w:rPr>
              <w:br/>
            </w:r>
            <w:r w:rsidRPr="00794ACE">
              <w:rPr>
                <w:rFonts w:eastAsia="Times New Roman"/>
                <w:sz w:val="22"/>
                <w:szCs w:val="22"/>
                <w:lang w:eastAsia="en-GB"/>
              </w:rPr>
              <w:br/>
              <w:t>To be kept under review.</w:t>
            </w:r>
          </w:p>
        </w:tc>
        <w:tc>
          <w:tcPr>
            <w:tcW w:w="127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color w:val="000000"/>
                <w:sz w:val="22"/>
                <w:szCs w:val="22"/>
                <w:lang w:eastAsia="en-GB"/>
              </w:rPr>
            </w:pPr>
            <w:r w:rsidRPr="00794ACE">
              <w:rPr>
                <w:rFonts w:eastAsia="Times New Roman"/>
                <w:color w:val="000000"/>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896DF1">
        <w:trPr>
          <w:trHeight w:val="1095"/>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lastRenderedPageBreak/>
              <w:t>Strategic &amp; commercial</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Unrealistic Business Plan predications lead to reduce income causing Operational failure.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 xml:space="preserve">Conservative and realistic predictions in Business Plan.  </w:t>
            </w:r>
            <w:r w:rsidRPr="00794ACE">
              <w:rPr>
                <w:rFonts w:eastAsia="Times New Roman"/>
                <w:sz w:val="22"/>
                <w:szCs w:val="22"/>
                <w:lang w:eastAsia="en-GB"/>
              </w:rPr>
              <w:br/>
            </w:r>
            <w:r w:rsidRPr="00794ACE">
              <w:rPr>
                <w:rFonts w:eastAsia="Times New Roman"/>
                <w:sz w:val="22"/>
                <w:szCs w:val="22"/>
                <w:lang w:eastAsia="en-GB"/>
              </w:rPr>
              <w:br/>
              <w:t>OCC to keep under review.</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OCC</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114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Organisational, human &amp; management</w:t>
            </w:r>
          </w:p>
        </w:tc>
        <w:tc>
          <w:tcPr>
            <w:tcW w:w="3118"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 xml:space="preserve">BIM takes longer than anticipated causing </w:t>
            </w:r>
            <w:bookmarkStart w:id="0" w:name="_GoBack"/>
            <w:bookmarkEnd w:id="0"/>
            <w:r w:rsidRPr="00794ACE">
              <w:rPr>
                <w:rFonts w:eastAsia="Times New Roman"/>
                <w:sz w:val="22"/>
                <w:szCs w:val="22"/>
                <w:lang w:eastAsia="en-GB"/>
              </w:rPr>
              <w:t>Programme delays.</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4</w:t>
            </w:r>
          </w:p>
        </w:tc>
        <w:tc>
          <w:tcPr>
            <w:tcW w:w="453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BIM programme to be kept under review.</w:t>
            </w:r>
            <w:r w:rsidRPr="00794ACE">
              <w:rPr>
                <w:rFonts w:eastAsia="Times New Roman"/>
                <w:sz w:val="22"/>
                <w:szCs w:val="22"/>
                <w:lang w:eastAsia="en-GB"/>
              </w:rPr>
              <w:br/>
              <w:t>OCC agreed that BIM will not dictate and lead programme in terms of allowing programme delay.</w:t>
            </w:r>
          </w:p>
        </w:tc>
        <w:tc>
          <w:tcPr>
            <w:tcW w:w="1276"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r w:rsidR="00794ACE" w:rsidRPr="00794ACE" w:rsidTr="00794ACE">
        <w:trPr>
          <w:trHeight w:val="88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Organisational, human &amp; management</w:t>
            </w:r>
          </w:p>
        </w:tc>
        <w:tc>
          <w:tcPr>
            <w:tcW w:w="3118"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OCC do not implement Activity Plan, HLF may clawback funding.</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3</w:t>
            </w:r>
          </w:p>
        </w:tc>
        <w:tc>
          <w:tcPr>
            <w:tcW w:w="453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rPr>
                <w:rFonts w:eastAsia="Times New Roman"/>
                <w:sz w:val="22"/>
                <w:szCs w:val="22"/>
                <w:lang w:eastAsia="en-GB"/>
              </w:rPr>
            </w:pPr>
            <w:r w:rsidRPr="00794ACE">
              <w:rPr>
                <w:rFonts w:eastAsia="Times New Roman"/>
                <w:sz w:val="22"/>
                <w:szCs w:val="22"/>
                <w:lang w:eastAsia="en-GB"/>
              </w:rPr>
              <w:t>OCC sign up to delivery of HLF Activity Plan.</w:t>
            </w:r>
            <w:r w:rsidRPr="00794ACE">
              <w:rPr>
                <w:rFonts w:eastAsia="Times New Roman"/>
                <w:sz w:val="22"/>
                <w:szCs w:val="22"/>
                <w:lang w:eastAsia="en-GB"/>
              </w:rPr>
              <w:br/>
            </w:r>
            <w:r w:rsidRPr="00794ACE">
              <w:rPr>
                <w:rFonts w:eastAsia="Times New Roman"/>
                <w:sz w:val="22"/>
                <w:szCs w:val="22"/>
                <w:lang w:eastAsia="en-GB"/>
              </w:rPr>
              <w:br/>
              <w:t>Vanessa Lea to keep under review.</w:t>
            </w:r>
          </w:p>
        </w:tc>
        <w:tc>
          <w:tcPr>
            <w:tcW w:w="1276" w:type="dxa"/>
            <w:tcBorders>
              <w:top w:val="nil"/>
              <w:left w:val="nil"/>
              <w:bottom w:val="single" w:sz="4" w:space="0" w:color="auto"/>
              <w:right w:val="single" w:sz="4" w:space="0" w:color="auto"/>
            </w:tcBorders>
            <w:shd w:val="clear" w:color="000000" w:fill="FFFFFF"/>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OCC</w:t>
            </w:r>
          </w:p>
        </w:tc>
        <w:tc>
          <w:tcPr>
            <w:tcW w:w="567"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709"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794ACE" w:rsidRPr="00794ACE" w:rsidRDefault="00794ACE" w:rsidP="00794ACE">
            <w:pPr>
              <w:jc w:val="center"/>
              <w:rPr>
                <w:rFonts w:eastAsia="Times New Roman"/>
                <w:sz w:val="22"/>
                <w:szCs w:val="22"/>
                <w:lang w:eastAsia="en-GB"/>
              </w:rPr>
            </w:pPr>
            <w:r w:rsidRPr="00794ACE">
              <w:rPr>
                <w:rFonts w:eastAsia="Times New Roman"/>
                <w:sz w:val="22"/>
                <w:szCs w:val="22"/>
                <w:lang w:eastAsia="en-GB"/>
              </w:rPr>
              <w:t>Open</w:t>
            </w:r>
          </w:p>
        </w:tc>
      </w:tr>
    </w:tbl>
    <w:p w:rsidR="00794ACE" w:rsidRPr="008A22C6" w:rsidRDefault="00794ACE" w:rsidP="008A22C6"/>
    <w:sectPr w:rsidR="00794ACE" w:rsidRPr="008A22C6" w:rsidSect="00794ACE">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CE"/>
    <w:rsid w:val="000B4310"/>
    <w:rsid w:val="004000D7"/>
    <w:rsid w:val="00463103"/>
    <w:rsid w:val="00504E43"/>
    <w:rsid w:val="007908F4"/>
    <w:rsid w:val="00794ACE"/>
    <w:rsid w:val="00896DF1"/>
    <w:rsid w:val="008A22C6"/>
    <w:rsid w:val="00A21624"/>
    <w:rsid w:val="00C07F80"/>
    <w:rsid w:val="00DF380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2316">
      <w:bodyDiv w:val="1"/>
      <w:marLeft w:val="0"/>
      <w:marRight w:val="0"/>
      <w:marTop w:val="0"/>
      <w:marBottom w:val="0"/>
      <w:divBdr>
        <w:top w:val="none" w:sz="0" w:space="0" w:color="auto"/>
        <w:left w:val="none" w:sz="0" w:space="0" w:color="auto"/>
        <w:bottom w:val="none" w:sz="0" w:space="0" w:color="auto"/>
        <w:right w:val="none" w:sz="0" w:space="0" w:color="auto"/>
      </w:divBdr>
    </w:div>
    <w:div w:id="8464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3CF0-63EE-42C0-A25E-36FA75DE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helen.vaughan-evans</dc:creator>
  <cp:lastModifiedBy>helen.vaughan-evans</cp:lastModifiedBy>
  <cp:revision>1</cp:revision>
  <dcterms:created xsi:type="dcterms:W3CDTF">2017-10-06T09:36:00Z</dcterms:created>
  <dcterms:modified xsi:type="dcterms:W3CDTF">2017-10-06T09:49:00Z</dcterms:modified>
</cp:coreProperties>
</file>